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15" w:type="dxa"/>
        <w:tblLook w:val="04A0" w:firstRow="1" w:lastRow="0" w:firstColumn="1" w:lastColumn="0" w:noHBand="0" w:noVBand="1"/>
      </w:tblPr>
      <w:tblGrid>
        <w:gridCol w:w="5215"/>
        <w:gridCol w:w="270"/>
        <w:gridCol w:w="270"/>
        <w:gridCol w:w="5760"/>
      </w:tblGrid>
      <w:tr w:rsidR="0041330F" w14:paraId="2AED5B5D" w14:textId="77777777" w:rsidTr="000A65D0">
        <w:tc>
          <w:tcPr>
            <w:tcW w:w="5215" w:type="dxa"/>
            <w:vMerge w:val="restart"/>
            <w:tcBorders>
              <w:top w:val="nil"/>
              <w:left w:val="nil"/>
              <w:bottom w:val="nil"/>
              <w:right w:val="nil"/>
            </w:tcBorders>
            <w:shd w:val="clear" w:color="auto" w:fill="2F5496" w:themeFill="accent1" w:themeFillShade="BF"/>
            <w:vAlign w:val="center"/>
          </w:tcPr>
          <w:p w14:paraId="1365692B" w14:textId="3C656D49" w:rsidR="0041330F" w:rsidRPr="0041330F" w:rsidRDefault="0041330F" w:rsidP="00617BF0">
            <w:pPr>
              <w:pStyle w:val="Header"/>
              <w:shd w:val="clear" w:color="auto" w:fill="2F5496" w:themeFill="accent1" w:themeFillShade="BF"/>
              <w:tabs>
                <w:tab w:val="clear" w:pos="4680"/>
                <w:tab w:val="clear" w:pos="9360"/>
                <w:tab w:val="center" w:pos="5020"/>
                <w:tab w:val="right" w:pos="10440"/>
              </w:tabs>
              <w:ind w:right="-1080"/>
              <w:rPr>
                <w:b/>
                <w:bCs/>
                <w:color w:val="FFFFFF" w:themeColor="background1"/>
                <w:sz w:val="36"/>
                <w:szCs w:val="36"/>
              </w:rPr>
            </w:pPr>
            <w:r>
              <w:rPr>
                <w:b/>
                <w:bCs/>
                <w:color w:val="FFFFFF" w:themeColor="background1"/>
                <w:sz w:val="36"/>
                <w:szCs w:val="36"/>
              </w:rPr>
              <w:t xml:space="preserve">  </w:t>
            </w:r>
            <w:r w:rsidR="00732FEF">
              <w:rPr>
                <w:b/>
                <w:bCs/>
                <w:color w:val="FFFFFF" w:themeColor="background1"/>
                <w:sz w:val="36"/>
                <w:szCs w:val="36"/>
              </w:rPr>
              <w:t xml:space="preserve"> </w:t>
            </w:r>
            <w:r>
              <w:rPr>
                <w:b/>
                <w:bCs/>
                <w:color w:val="FFFFFF" w:themeColor="background1"/>
                <w:sz w:val="36"/>
                <w:szCs w:val="36"/>
              </w:rPr>
              <w:t xml:space="preserve"> </w:t>
            </w:r>
            <w:r w:rsidRPr="0041330F">
              <w:rPr>
                <w:b/>
                <w:bCs/>
                <w:color w:val="FFFFFF" w:themeColor="background1"/>
                <w:sz w:val="36"/>
                <w:szCs w:val="36"/>
              </w:rPr>
              <w:t>Economic Health and Housing</w:t>
            </w:r>
          </w:p>
        </w:tc>
        <w:tc>
          <w:tcPr>
            <w:tcW w:w="270" w:type="dxa"/>
            <w:tcBorders>
              <w:top w:val="nil"/>
              <w:left w:val="nil"/>
              <w:bottom w:val="nil"/>
              <w:right w:val="nil"/>
            </w:tcBorders>
            <w:shd w:val="clear" w:color="auto" w:fill="2F5496" w:themeFill="accent1" w:themeFillShade="BF"/>
          </w:tcPr>
          <w:p w14:paraId="34804C0C" w14:textId="77777777" w:rsidR="0041330F" w:rsidRDefault="0041330F" w:rsidP="00617BF0">
            <w:pPr>
              <w:pStyle w:val="Header"/>
              <w:shd w:val="clear" w:color="auto" w:fill="2F5496" w:themeFill="accent1" w:themeFillShade="BF"/>
              <w:tabs>
                <w:tab w:val="clear" w:pos="9360"/>
                <w:tab w:val="right" w:pos="10440"/>
              </w:tabs>
              <w:ind w:right="-1080"/>
            </w:pPr>
          </w:p>
        </w:tc>
        <w:tc>
          <w:tcPr>
            <w:tcW w:w="270" w:type="dxa"/>
            <w:tcBorders>
              <w:top w:val="nil"/>
              <w:left w:val="nil"/>
              <w:bottom w:val="nil"/>
              <w:right w:val="nil"/>
            </w:tcBorders>
            <w:shd w:val="clear" w:color="auto" w:fill="2F5496" w:themeFill="accent1" w:themeFillShade="BF"/>
          </w:tcPr>
          <w:p w14:paraId="38F22F64" w14:textId="77777777" w:rsidR="0041330F" w:rsidRDefault="0041330F" w:rsidP="00617BF0">
            <w:pPr>
              <w:pStyle w:val="Header"/>
              <w:shd w:val="clear" w:color="auto" w:fill="2F5496" w:themeFill="accent1" w:themeFillShade="BF"/>
              <w:tabs>
                <w:tab w:val="clear" w:pos="9360"/>
                <w:tab w:val="right" w:pos="10440"/>
              </w:tabs>
              <w:ind w:right="-1080"/>
            </w:pPr>
          </w:p>
        </w:tc>
        <w:tc>
          <w:tcPr>
            <w:tcW w:w="5760" w:type="dxa"/>
            <w:vMerge w:val="restart"/>
            <w:tcBorders>
              <w:top w:val="nil"/>
              <w:left w:val="nil"/>
              <w:bottom w:val="nil"/>
              <w:right w:val="nil"/>
            </w:tcBorders>
            <w:shd w:val="clear" w:color="auto" w:fill="2F5496" w:themeFill="accent1" w:themeFillShade="BF"/>
            <w:vAlign w:val="center"/>
          </w:tcPr>
          <w:p w14:paraId="3E10F0A9" w14:textId="1A1E57AC" w:rsidR="0041330F" w:rsidRPr="0041330F" w:rsidRDefault="0041330F" w:rsidP="00617BF0">
            <w:pPr>
              <w:pStyle w:val="Header"/>
              <w:shd w:val="clear" w:color="auto" w:fill="2F5496" w:themeFill="accent1" w:themeFillShade="BF"/>
              <w:tabs>
                <w:tab w:val="clear" w:pos="4680"/>
                <w:tab w:val="clear" w:pos="9360"/>
                <w:tab w:val="center" w:pos="5570"/>
                <w:tab w:val="right" w:pos="10440"/>
              </w:tabs>
              <w:ind w:right="-1080"/>
              <w:rPr>
                <w:rFonts w:ascii="Times New Roman" w:hAnsi="Times New Roman" w:cs="Times New Roman"/>
                <w:b/>
                <w:bCs/>
                <w:color w:val="FFFFFF" w:themeColor="background1"/>
                <w:sz w:val="34"/>
                <w:szCs w:val="34"/>
              </w:rPr>
            </w:pPr>
            <w:r w:rsidRPr="0041330F">
              <w:rPr>
                <w:rFonts w:ascii="Times New Roman" w:hAnsi="Times New Roman" w:cs="Times New Roman"/>
                <w:b/>
                <w:bCs/>
                <w:color w:val="FFFFFF" w:themeColor="background1"/>
                <w:sz w:val="34"/>
                <w:szCs w:val="34"/>
              </w:rPr>
              <w:t xml:space="preserve">  Greeley Urban Renewal Authority</w:t>
            </w:r>
          </w:p>
        </w:tc>
      </w:tr>
      <w:tr w:rsidR="0041330F" w14:paraId="745ECD0A" w14:textId="77777777" w:rsidTr="000A65D0">
        <w:tc>
          <w:tcPr>
            <w:tcW w:w="5215" w:type="dxa"/>
            <w:vMerge/>
            <w:tcBorders>
              <w:top w:val="nil"/>
              <w:left w:val="nil"/>
              <w:bottom w:val="nil"/>
              <w:right w:val="nil"/>
            </w:tcBorders>
            <w:shd w:val="clear" w:color="auto" w:fill="2F5496" w:themeFill="accent1" w:themeFillShade="BF"/>
          </w:tcPr>
          <w:p w14:paraId="6ED6BBB3" w14:textId="77777777" w:rsidR="0041330F" w:rsidRDefault="0041330F" w:rsidP="00617BF0">
            <w:pPr>
              <w:pStyle w:val="Header"/>
              <w:shd w:val="clear" w:color="auto" w:fill="2F5496" w:themeFill="accent1" w:themeFillShade="BF"/>
              <w:tabs>
                <w:tab w:val="clear" w:pos="9360"/>
                <w:tab w:val="right" w:pos="10440"/>
              </w:tabs>
              <w:ind w:right="-1080"/>
            </w:pPr>
          </w:p>
        </w:tc>
        <w:tc>
          <w:tcPr>
            <w:tcW w:w="270" w:type="dxa"/>
            <w:tcBorders>
              <w:top w:val="nil"/>
              <w:left w:val="nil"/>
              <w:bottom w:val="nil"/>
              <w:right w:val="single" w:sz="24" w:space="0" w:color="FFFFFF" w:themeColor="background1"/>
            </w:tcBorders>
            <w:shd w:val="clear" w:color="auto" w:fill="2F5496" w:themeFill="accent1" w:themeFillShade="BF"/>
          </w:tcPr>
          <w:p w14:paraId="3EEBB5B8" w14:textId="77777777" w:rsidR="0041330F" w:rsidRDefault="0041330F" w:rsidP="00617BF0">
            <w:pPr>
              <w:pStyle w:val="Header"/>
              <w:shd w:val="clear" w:color="auto" w:fill="2F5496" w:themeFill="accent1" w:themeFillShade="BF"/>
              <w:tabs>
                <w:tab w:val="clear" w:pos="9360"/>
                <w:tab w:val="right" w:pos="10440"/>
              </w:tabs>
              <w:ind w:right="-1080"/>
            </w:pPr>
          </w:p>
        </w:tc>
        <w:tc>
          <w:tcPr>
            <w:tcW w:w="270" w:type="dxa"/>
            <w:tcBorders>
              <w:top w:val="nil"/>
              <w:left w:val="single" w:sz="24" w:space="0" w:color="FFFFFF" w:themeColor="background1"/>
              <w:bottom w:val="nil"/>
              <w:right w:val="nil"/>
            </w:tcBorders>
            <w:shd w:val="clear" w:color="auto" w:fill="2F5496" w:themeFill="accent1" w:themeFillShade="BF"/>
          </w:tcPr>
          <w:p w14:paraId="73A718B3" w14:textId="77777777" w:rsidR="0041330F" w:rsidRDefault="0041330F" w:rsidP="00617BF0">
            <w:pPr>
              <w:pStyle w:val="Header"/>
              <w:shd w:val="clear" w:color="auto" w:fill="2F5496" w:themeFill="accent1" w:themeFillShade="BF"/>
              <w:tabs>
                <w:tab w:val="clear" w:pos="9360"/>
                <w:tab w:val="right" w:pos="10440"/>
              </w:tabs>
              <w:ind w:right="-1080"/>
            </w:pPr>
          </w:p>
        </w:tc>
        <w:tc>
          <w:tcPr>
            <w:tcW w:w="5760" w:type="dxa"/>
            <w:vMerge/>
            <w:tcBorders>
              <w:top w:val="nil"/>
              <w:left w:val="nil"/>
              <w:bottom w:val="nil"/>
              <w:right w:val="nil"/>
            </w:tcBorders>
            <w:shd w:val="clear" w:color="auto" w:fill="2F5496" w:themeFill="accent1" w:themeFillShade="BF"/>
          </w:tcPr>
          <w:p w14:paraId="6C6B8874" w14:textId="77777777" w:rsidR="0041330F" w:rsidRDefault="0041330F" w:rsidP="00617BF0">
            <w:pPr>
              <w:pStyle w:val="Header"/>
              <w:shd w:val="clear" w:color="auto" w:fill="2F5496" w:themeFill="accent1" w:themeFillShade="BF"/>
              <w:tabs>
                <w:tab w:val="clear" w:pos="9360"/>
                <w:tab w:val="right" w:pos="10440"/>
              </w:tabs>
              <w:ind w:right="-1080"/>
            </w:pPr>
          </w:p>
        </w:tc>
      </w:tr>
      <w:tr w:rsidR="0041330F" w14:paraId="3C1AE2B8" w14:textId="77777777" w:rsidTr="000A65D0">
        <w:tc>
          <w:tcPr>
            <w:tcW w:w="5215" w:type="dxa"/>
            <w:vMerge/>
            <w:tcBorders>
              <w:top w:val="nil"/>
              <w:left w:val="nil"/>
              <w:bottom w:val="nil"/>
              <w:right w:val="nil"/>
            </w:tcBorders>
            <w:shd w:val="clear" w:color="auto" w:fill="2F5496" w:themeFill="accent1" w:themeFillShade="BF"/>
          </w:tcPr>
          <w:p w14:paraId="73ECDF0F" w14:textId="77777777" w:rsidR="0041330F" w:rsidRDefault="0041330F" w:rsidP="00617BF0">
            <w:pPr>
              <w:pStyle w:val="Header"/>
              <w:shd w:val="clear" w:color="auto" w:fill="2F5496" w:themeFill="accent1" w:themeFillShade="BF"/>
              <w:tabs>
                <w:tab w:val="clear" w:pos="9360"/>
                <w:tab w:val="right" w:pos="10440"/>
              </w:tabs>
              <w:ind w:right="-1080"/>
            </w:pPr>
          </w:p>
        </w:tc>
        <w:tc>
          <w:tcPr>
            <w:tcW w:w="270" w:type="dxa"/>
            <w:tcBorders>
              <w:top w:val="nil"/>
              <w:left w:val="nil"/>
              <w:bottom w:val="nil"/>
              <w:right w:val="nil"/>
            </w:tcBorders>
            <w:shd w:val="clear" w:color="auto" w:fill="2F5496" w:themeFill="accent1" w:themeFillShade="BF"/>
          </w:tcPr>
          <w:p w14:paraId="613627FA" w14:textId="77777777" w:rsidR="0041330F" w:rsidRDefault="0041330F" w:rsidP="00617BF0">
            <w:pPr>
              <w:pStyle w:val="Header"/>
              <w:shd w:val="clear" w:color="auto" w:fill="2F5496" w:themeFill="accent1" w:themeFillShade="BF"/>
              <w:tabs>
                <w:tab w:val="clear" w:pos="9360"/>
                <w:tab w:val="right" w:pos="10440"/>
              </w:tabs>
              <w:ind w:right="-1080"/>
            </w:pPr>
          </w:p>
        </w:tc>
        <w:tc>
          <w:tcPr>
            <w:tcW w:w="270" w:type="dxa"/>
            <w:tcBorders>
              <w:top w:val="nil"/>
              <w:left w:val="nil"/>
              <w:bottom w:val="nil"/>
              <w:right w:val="nil"/>
            </w:tcBorders>
            <w:shd w:val="clear" w:color="auto" w:fill="2F5496" w:themeFill="accent1" w:themeFillShade="BF"/>
          </w:tcPr>
          <w:p w14:paraId="75A88074" w14:textId="77777777" w:rsidR="0041330F" w:rsidRDefault="0041330F" w:rsidP="00617BF0">
            <w:pPr>
              <w:pStyle w:val="Header"/>
              <w:shd w:val="clear" w:color="auto" w:fill="2F5496" w:themeFill="accent1" w:themeFillShade="BF"/>
              <w:tabs>
                <w:tab w:val="clear" w:pos="9360"/>
                <w:tab w:val="right" w:pos="10440"/>
              </w:tabs>
              <w:ind w:right="-1080"/>
            </w:pPr>
          </w:p>
        </w:tc>
        <w:tc>
          <w:tcPr>
            <w:tcW w:w="5760" w:type="dxa"/>
            <w:vMerge/>
            <w:tcBorders>
              <w:top w:val="nil"/>
              <w:left w:val="nil"/>
              <w:bottom w:val="nil"/>
              <w:right w:val="nil"/>
            </w:tcBorders>
            <w:shd w:val="clear" w:color="auto" w:fill="2F5496" w:themeFill="accent1" w:themeFillShade="BF"/>
          </w:tcPr>
          <w:p w14:paraId="5C54CBCA" w14:textId="77777777" w:rsidR="0041330F" w:rsidRDefault="0041330F" w:rsidP="00617BF0">
            <w:pPr>
              <w:pStyle w:val="Header"/>
              <w:shd w:val="clear" w:color="auto" w:fill="2F5496" w:themeFill="accent1" w:themeFillShade="BF"/>
              <w:tabs>
                <w:tab w:val="clear" w:pos="9360"/>
                <w:tab w:val="right" w:pos="10440"/>
              </w:tabs>
              <w:ind w:right="-1080"/>
            </w:pPr>
          </w:p>
        </w:tc>
      </w:tr>
    </w:tbl>
    <w:p w14:paraId="5ABF55EF" w14:textId="77777777" w:rsidR="00732FEF" w:rsidRDefault="00732FEF" w:rsidP="00E478C9">
      <w:pPr>
        <w:spacing w:before="240" w:after="0" w:line="240" w:lineRule="auto"/>
        <w:jc w:val="center"/>
        <w:rPr>
          <w:rFonts w:ascii="Arial Black" w:hAnsi="Arial Black"/>
          <w:b/>
          <w:bCs/>
          <w:color w:val="2F5496" w:themeColor="accent1" w:themeShade="BF"/>
          <w:sz w:val="36"/>
          <w:szCs w:val="36"/>
        </w:rPr>
      </w:pPr>
      <w:r w:rsidRPr="00732FEF">
        <w:rPr>
          <w:rFonts w:ascii="Arial Black" w:hAnsi="Arial Black"/>
          <w:b/>
          <w:bCs/>
          <w:color w:val="2F5496" w:themeColor="accent1" w:themeShade="BF"/>
          <w:sz w:val="36"/>
          <w:szCs w:val="36"/>
        </w:rPr>
        <w:t xml:space="preserve">Fair Housing Act Protections for </w:t>
      </w:r>
    </w:p>
    <w:p w14:paraId="58CDD3CE" w14:textId="7950A656" w:rsidR="00732FEF" w:rsidRDefault="00732FEF" w:rsidP="00E478C9">
      <w:pPr>
        <w:spacing w:after="0" w:line="240" w:lineRule="auto"/>
        <w:jc w:val="center"/>
        <w:rPr>
          <w:rFonts w:ascii="Arial Black" w:hAnsi="Arial Black"/>
          <w:b/>
          <w:bCs/>
          <w:color w:val="2F5496" w:themeColor="accent1" w:themeShade="BF"/>
          <w:sz w:val="36"/>
          <w:szCs w:val="36"/>
        </w:rPr>
      </w:pPr>
      <w:r w:rsidRPr="00732FEF">
        <w:rPr>
          <w:rFonts w:ascii="Arial Black" w:hAnsi="Arial Black"/>
          <w:b/>
          <w:bCs/>
          <w:color w:val="2F5496" w:themeColor="accent1" w:themeShade="BF"/>
          <w:sz w:val="36"/>
          <w:szCs w:val="36"/>
        </w:rPr>
        <w:t>Race, Color, National Origin</w:t>
      </w:r>
    </w:p>
    <w:p w14:paraId="260A1C64" w14:textId="159157CC" w:rsidR="00732FEF" w:rsidRPr="00E478C9" w:rsidRDefault="00732FEF" w:rsidP="0080351F">
      <w:pPr>
        <w:spacing w:after="240"/>
        <w:jc w:val="center"/>
        <w:rPr>
          <w:rFonts w:ascii="Arial Black" w:hAnsi="Arial Black"/>
          <w:b/>
          <w:bCs/>
          <w:color w:val="2F5496" w:themeColor="accent1" w:themeShade="BF"/>
          <w:sz w:val="56"/>
          <w:szCs w:val="56"/>
        </w:rPr>
      </w:pPr>
      <w:r w:rsidRPr="00E478C9">
        <w:rPr>
          <w:rFonts w:ascii="Arial Black" w:hAnsi="Arial Black"/>
          <w:b/>
          <w:bCs/>
          <w:color w:val="2F5496" w:themeColor="accent1" w:themeShade="BF"/>
          <w:sz w:val="56"/>
          <w:szCs w:val="56"/>
        </w:rPr>
        <w:t>Know Your Rights</w:t>
      </w:r>
    </w:p>
    <w:p w14:paraId="0A4D0962" w14:textId="2B5BA755" w:rsidR="00732FEF" w:rsidRDefault="00732FEF">
      <w:pPr>
        <w:rPr>
          <w:sz w:val="24"/>
          <w:szCs w:val="24"/>
        </w:rPr>
      </w:pPr>
      <w:r>
        <w:rPr>
          <w:sz w:val="24"/>
          <w:szCs w:val="24"/>
        </w:rPr>
        <w:t>Housing discrimination occurs when a person is treated differently than another person during the sale, rental, or financing of housing and housing-related transactions based on a particular characteristic, such as their race, color, or national origin. These are three of the classes of people protected by the Fair Housing Act of 1968 (The Act).</w:t>
      </w:r>
    </w:p>
    <w:p w14:paraId="31240E04" w14:textId="3C2FB9A8" w:rsidR="00A601B8" w:rsidRDefault="00732FEF" w:rsidP="000A65D0">
      <w:pPr>
        <w:rPr>
          <w:sz w:val="24"/>
          <w:szCs w:val="24"/>
        </w:rPr>
      </w:pPr>
      <w:r>
        <w:rPr>
          <w:sz w:val="24"/>
          <w:szCs w:val="24"/>
        </w:rPr>
        <w:t xml:space="preserve">When Congress enacted </w:t>
      </w:r>
      <w:r w:rsidR="001A17C8">
        <w:rPr>
          <w:sz w:val="24"/>
          <w:szCs w:val="24"/>
        </w:rPr>
        <w:t>The Act</w:t>
      </w:r>
      <w:r>
        <w:rPr>
          <w:sz w:val="24"/>
          <w:szCs w:val="24"/>
        </w:rPr>
        <w:t>, one of the central objectives was to prohibit race discrimination in sales and rentals of housing. Even so, race discrimination in housing continues to be an issue. Often, discrimination is disguised by steering people looking for housing to certain areas or by stating no housing is available.</w:t>
      </w:r>
    </w:p>
    <w:p w14:paraId="23DD32F8" w14:textId="413B69D3" w:rsidR="000A65D0" w:rsidRDefault="000A65D0" w:rsidP="000A65D0">
      <w:pPr>
        <w:rPr>
          <w:sz w:val="24"/>
          <w:szCs w:val="24"/>
        </w:rPr>
      </w:pPr>
      <w:r w:rsidRPr="00A601B8">
        <w:rPr>
          <w:noProof/>
        </w:rPr>
        <mc:AlternateContent>
          <mc:Choice Requires="wps">
            <w:drawing>
              <wp:anchor distT="0" distB="0" distL="114300" distR="114300" simplePos="0" relativeHeight="251659264" behindDoc="0" locked="0" layoutInCell="1" allowOverlap="1" wp14:anchorId="1F57AAE8" wp14:editId="73B6247D">
                <wp:simplePos x="0" y="0"/>
                <wp:positionH relativeFrom="column">
                  <wp:posOffset>0</wp:posOffset>
                </wp:positionH>
                <wp:positionV relativeFrom="paragraph">
                  <wp:posOffset>-635</wp:posOffset>
                </wp:positionV>
                <wp:extent cx="6978650" cy="3708400"/>
                <wp:effectExtent l="0" t="0" r="12700" b="25400"/>
                <wp:wrapNone/>
                <wp:docPr id="1" name="Text Box 1"/>
                <wp:cNvGraphicFramePr/>
                <a:graphic xmlns:a="http://schemas.openxmlformats.org/drawingml/2006/main">
                  <a:graphicData uri="http://schemas.microsoft.com/office/word/2010/wordprocessingShape">
                    <wps:wsp>
                      <wps:cNvSpPr txBox="1"/>
                      <wps:spPr>
                        <a:xfrm>
                          <a:off x="0" y="0"/>
                          <a:ext cx="6978650" cy="3708400"/>
                        </a:xfrm>
                        <a:prstGeom prst="rect">
                          <a:avLst/>
                        </a:prstGeom>
                        <a:solidFill>
                          <a:schemeClr val="accent1">
                            <a:lumMod val="40000"/>
                            <a:lumOff val="60000"/>
                          </a:schemeClr>
                        </a:solidFill>
                        <a:ln w="6350">
                          <a:solidFill>
                            <a:prstClr val="black"/>
                          </a:solidFill>
                        </a:ln>
                      </wps:spPr>
                      <wps:txbx>
                        <w:txbxContent>
                          <w:p w14:paraId="1E365E16" w14:textId="77777777" w:rsidR="000A65D0" w:rsidRPr="00A601B8" w:rsidRDefault="000A65D0" w:rsidP="000A65D0">
                            <w:pPr>
                              <w:spacing w:after="60"/>
                              <w:rPr>
                                <w:b/>
                                <w:bCs/>
                                <w:color w:val="2F5496" w:themeColor="accent1" w:themeShade="BF"/>
                              </w:rPr>
                            </w:pPr>
                            <w:r w:rsidRPr="00A601B8">
                              <w:rPr>
                                <w:b/>
                                <w:bCs/>
                                <w:color w:val="2F5496" w:themeColor="accent1" w:themeShade="BF"/>
                              </w:rPr>
                              <w:t>You are discriminated against if you are a victim of:</w:t>
                            </w:r>
                          </w:p>
                          <w:p w14:paraId="26C44550" w14:textId="77777777" w:rsidR="000A65D0" w:rsidRPr="00A601B8" w:rsidRDefault="000A65D0" w:rsidP="000A65D0">
                            <w:pPr>
                              <w:pStyle w:val="ListParagraph"/>
                              <w:numPr>
                                <w:ilvl w:val="0"/>
                                <w:numId w:val="1"/>
                              </w:numPr>
                              <w:spacing w:after="60" w:line="240" w:lineRule="auto"/>
                              <w:contextualSpacing w:val="0"/>
                              <w:rPr>
                                <w:color w:val="2F5496" w:themeColor="accent1" w:themeShade="BF"/>
                              </w:rPr>
                            </w:pPr>
                            <w:r w:rsidRPr="00A601B8">
                              <w:rPr>
                                <w:b/>
                                <w:bCs/>
                                <w:color w:val="2F5496" w:themeColor="accent1" w:themeShade="BF"/>
                              </w:rPr>
                              <w:t xml:space="preserve">Racial Steering:  </w:t>
                            </w:r>
                            <w:r w:rsidRPr="00A601B8">
                              <w:t>You cannot be told, “This is not your kind of neighborhood,” or “You wouldn’t feel comfortable living here,” or None of your kind of people live in this area”. Statements like this are “steering” and in violation of The Act.</w:t>
                            </w:r>
                          </w:p>
                          <w:p w14:paraId="52A3E74D" w14:textId="77777777" w:rsidR="000A65D0" w:rsidRPr="00A601B8" w:rsidRDefault="000A65D0" w:rsidP="000A65D0">
                            <w:pPr>
                              <w:pStyle w:val="ListParagraph"/>
                              <w:numPr>
                                <w:ilvl w:val="0"/>
                                <w:numId w:val="1"/>
                              </w:numPr>
                              <w:spacing w:after="60" w:line="240" w:lineRule="auto"/>
                              <w:contextualSpacing w:val="0"/>
                            </w:pPr>
                            <w:r w:rsidRPr="00A601B8">
                              <w:rPr>
                                <w:b/>
                                <w:bCs/>
                                <w:color w:val="2F5496" w:themeColor="accent1" w:themeShade="BF"/>
                              </w:rPr>
                              <w:t xml:space="preserve">Rental Discrimination:  </w:t>
                            </w:r>
                            <w:r w:rsidRPr="00A601B8">
                              <w:t>The terms of rental agreements cannot be changed to deny or discourage access to rental properties. Rental agreement terms must apply to all renters.</w:t>
                            </w:r>
                          </w:p>
                          <w:p w14:paraId="74ED5B9F" w14:textId="77777777" w:rsidR="000A65D0" w:rsidRPr="00A601B8" w:rsidRDefault="000A65D0" w:rsidP="000A65D0">
                            <w:pPr>
                              <w:pStyle w:val="ListParagraph"/>
                              <w:numPr>
                                <w:ilvl w:val="0"/>
                                <w:numId w:val="1"/>
                              </w:numPr>
                              <w:spacing w:after="60" w:line="240" w:lineRule="auto"/>
                              <w:contextualSpacing w:val="0"/>
                              <w:rPr>
                                <w:color w:val="2F5496" w:themeColor="accent1" w:themeShade="BF"/>
                              </w:rPr>
                            </w:pPr>
                            <w:r w:rsidRPr="00A601B8">
                              <w:rPr>
                                <w:b/>
                                <w:bCs/>
                                <w:color w:val="2F5496" w:themeColor="accent1" w:themeShade="BF"/>
                              </w:rPr>
                              <w:t xml:space="preserve">False Denials of Availability:  </w:t>
                            </w:r>
                            <w:r w:rsidRPr="00A601B8">
                              <w:t>It is a violation of The Act if a real estate salesperson, broker, or property agent says a property is unavailable when it is in fact available for rent or purchase.</w:t>
                            </w:r>
                          </w:p>
                          <w:p w14:paraId="50E0DD1E" w14:textId="77777777" w:rsidR="000A65D0" w:rsidRPr="00A601B8" w:rsidRDefault="000A65D0" w:rsidP="000A65D0">
                            <w:pPr>
                              <w:pStyle w:val="ListParagraph"/>
                              <w:numPr>
                                <w:ilvl w:val="0"/>
                                <w:numId w:val="1"/>
                              </w:numPr>
                              <w:spacing w:after="60" w:line="240" w:lineRule="auto"/>
                              <w:contextualSpacing w:val="0"/>
                              <w:rPr>
                                <w:color w:val="2F5496" w:themeColor="accent1" w:themeShade="BF"/>
                              </w:rPr>
                            </w:pPr>
                            <w:r w:rsidRPr="00A601B8">
                              <w:rPr>
                                <w:b/>
                                <w:bCs/>
                                <w:color w:val="2F5496" w:themeColor="accent1" w:themeShade="BF"/>
                              </w:rPr>
                              <w:t xml:space="preserve">Advertising Discrimination:  </w:t>
                            </w:r>
                            <w:r w:rsidRPr="00A601B8">
                              <w:t xml:space="preserve">Ads or commercials for housing cannot show any preference for renters or buyers based on race, color, national origin (or any of the other protected classes). </w:t>
                            </w:r>
                          </w:p>
                          <w:p w14:paraId="5D8FB990" w14:textId="77777777" w:rsidR="000A65D0" w:rsidRPr="00A601B8" w:rsidRDefault="000A65D0" w:rsidP="000A65D0">
                            <w:pPr>
                              <w:pStyle w:val="ListParagraph"/>
                              <w:numPr>
                                <w:ilvl w:val="0"/>
                                <w:numId w:val="1"/>
                              </w:numPr>
                              <w:spacing w:after="60" w:line="240" w:lineRule="auto"/>
                              <w:contextualSpacing w:val="0"/>
                              <w:rPr>
                                <w:color w:val="2F5496" w:themeColor="accent1" w:themeShade="BF"/>
                              </w:rPr>
                            </w:pPr>
                            <w:r w:rsidRPr="00A601B8">
                              <w:rPr>
                                <w:b/>
                                <w:bCs/>
                                <w:color w:val="2F5496" w:themeColor="accent1" w:themeShade="BF"/>
                              </w:rPr>
                              <w:t xml:space="preserve">Redlining:  </w:t>
                            </w:r>
                            <w:r w:rsidRPr="00A601B8">
                              <w:t>Lending institutions cannot change the interest rate or any loan term in a discriminatory manner to deny access to a neighborhood.</w:t>
                            </w:r>
                          </w:p>
                          <w:p w14:paraId="6DCEB834" w14:textId="77777777" w:rsidR="000A65D0" w:rsidRPr="00A601B8" w:rsidRDefault="000A65D0" w:rsidP="000A65D0">
                            <w:pPr>
                              <w:pStyle w:val="ListParagraph"/>
                              <w:numPr>
                                <w:ilvl w:val="0"/>
                                <w:numId w:val="1"/>
                              </w:numPr>
                              <w:spacing w:after="60" w:line="240" w:lineRule="auto"/>
                              <w:contextualSpacing w:val="0"/>
                            </w:pPr>
                            <w:r w:rsidRPr="00A601B8">
                              <w:rPr>
                                <w:b/>
                                <w:bCs/>
                                <w:color w:val="2F5496" w:themeColor="accent1" w:themeShade="BF"/>
                              </w:rPr>
                              <w:t xml:space="preserve">Lending Discrimination:  </w:t>
                            </w:r>
                            <w:r w:rsidRPr="00A601B8">
                              <w:t xml:space="preserve">It is in violation of The Act for mortgage lenders to engage in any of the following </w:t>
                            </w:r>
                            <w:proofErr w:type="gramStart"/>
                            <w:r w:rsidRPr="00A601B8">
                              <w:t>with regard to</w:t>
                            </w:r>
                            <w:proofErr w:type="gramEnd"/>
                            <w:r w:rsidRPr="00A601B8">
                              <w:t xml:space="preserve"> protected classes, including race, color, and national origin:</w:t>
                            </w:r>
                          </w:p>
                          <w:p w14:paraId="2E7D9C80" w14:textId="77777777" w:rsidR="000A65D0" w:rsidRPr="00A601B8" w:rsidRDefault="000A65D0" w:rsidP="000A65D0">
                            <w:pPr>
                              <w:pStyle w:val="ListParagraph"/>
                              <w:numPr>
                                <w:ilvl w:val="0"/>
                                <w:numId w:val="2"/>
                              </w:numPr>
                              <w:spacing w:after="0" w:line="240" w:lineRule="auto"/>
                              <w:ind w:left="1483"/>
                              <w:contextualSpacing w:val="0"/>
                            </w:pPr>
                            <w:r w:rsidRPr="00A601B8">
                              <w:t>Refusal to make a mortgage loan</w:t>
                            </w:r>
                          </w:p>
                          <w:p w14:paraId="23E9ACD9" w14:textId="77777777" w:rsidR="000A65D0" w:rsidRPr="00A601B8" w:rsidRDefault="000A65D0" w:rsidP="000A65D0">
                            <w:pPr>
                              <w:pStyle w:val="ListParagraph"/>
                              <w:numPr>
                                <w:ilvl w:val="0"/>
                                <w:numId w:val="2"/>
                              </w:numPr>
                              <w:spacing w:after="0" w:line="240" w:lineRule="auto"/>
                              <w:ind w:left="1483"/>
                              <w:contextualSpacing w:val="0"/>
                            </w:pPr>
                            <w:r w:rsidRPr="00A601B8">
                              <w:t>Refusal to provide information regarding loans</w:t>
                            </w:r>
                          </w:p>
                          <w:p w14:paraId="5698CC35" w14:textId="77777777" w:rsidR="000A65D0" w:rsidRPr="00A601B8" w:rsidRDefault="000A65D0" w:rsidP="000A65D0">
                            <w:pPr>
                              <w:pStyle w:val="ListParagraph"/>
                              <w:numPr>
                                <w:ilvl w:val="0"/>
                                <w:numId w:val="2"/>
                              </w:numPr>
                              <w:spacing w:after="0" w:line="240" w:lineRule="auto"/>
                              <w:ind w:left="1483"/>
                              <w:contextualSpacing w:val="0"/>
                            </w:pPr>
                            <w:r w:rsidRPr="00A601B8">
                              <w:t>Imposing different terms or conditions, such as interest rates, points, or fees</w:t>
                            </w:r>
                          </w:p>
                          <w:p w14:paraId="3EDF031E" w14:textId="77777777" w:rsidR="000A65D0" w:rsidRPr="00A601B8" w:rsidRDefault="000A65D0" w:rsidP="000A65D0">
                            <w:pPr>
                              <w:pStyle w:val="ListParagraph"/>
                              <w:numPr>
                                <w:ilvl w:val="0"/>
                                <w:numId w:val="2"/>
                              </w:numPr>
                              <w:spacing w:after="0" w:line="240" w:lineRule="auto"/>
                              <w:ind w:left="1483"/>
                              <w:contextualSpacing w:val="0"/>
                            </w:pPr>
                            <w:r w:rsidRPr="00A601B8">
                              <w:t>Discrimination in appraising property</w:t>
                            </w:r>
                          </w:p>
                          <w:p w14:paraId="0C876507" w14:textId="77777777" w:rsidR="000A65D0" w:rsidRDefault="000A65D0" w:rsidP="000A65D0">
                            <w:pPr>
                              <w:pStyle w:val="ListParagraph"/>
                              <w:numPr>
                                <w:ilvl w:val="0"/>
                                <w:numId w:val="2"/>
                              </w:numPr>
                            </w:pPr>
                            <w:r w:rsidRPr="00A601B8">
                              <w:t>Refusal to purchase a loan or set different terms or conditions for purchasing a loan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57AAE8" id="_x0000_t202" coordsize="21600,21600" o:spt="202" path="m,l,21600r21600,l21600,xe">
                <v:stroke joinstyle="miter"/>
                <v:path gradientshapeok="t" o:connecttype="rect"/>
              </v:shapetype>
              <v:shape id="Text Box 1" o:spid="_x0000_s1026" type="#_x0000_t202" style="position:absolute;margin-left:0;margin-top:-.05pt;width:549.5pt;height:2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" fillcolor="#b4c6e7 [1300]" strokeweight=".5pt">
                <v:textbox>
                  <w:txbxContent>
                    <w:p w14:paraId="1E365E16" w14:textId="77777777" w:rsidR="000A65D0" w:rsidRPr="00A601B8" w:rsidRDefault="000A65D0" w:rsidP="000A65D0">
                      <w:pPr>
                        <w:spacing w:after="60"/>
                        <w:rPr>
                          <w:b/>
                          <w:bCs/>
                          <w:color w:val="2F5496" w:themeColor="accent1" w:themeShade="BF"/>
                        </w:rPr>
                      </w:pPr>
                      <w:r w:rsidRPr="00A601B8">
                        <w:rPr>
                          <w:b/>
                          <w:bCs/>
                          <w:color w:val="2F5496" w:themeColor="accent1" w:themeShade="BF"/>
                        </w:rPr>
                        <w:t>You are discriminated against if you are a victim of:</w:t>
                      </w:r>
                    </w:p>
                    <w:p w14:paraId="26C44550" w14:textId="77777777" w:rsidR="000A65D0" w:rsidRPr="00A601B8" w:rsidRDefault="000A65D0" w:rsidP="000A65D0">
                      <w:pPr>
                        <w:pStyle w:val="ListParagraph"/>
                        <w:numPr>
                          <w:ilvl w:val="0"/>
                          <w:numId w:val="1"/>
                        </w:numPr>
                        <w:spacing w:after="60" w:line="240" w:lineRule="auto"/>
                        <w:contextualSpacing w:val="0"/>
                        <w:rPr>
                          <w:color w:val="2F5496" w:themeColor="accent1" w:themeShade="BF"/>
                        </w:rPr>
                      </w:pPr>
                      <w:r w:rsidRPr="00A601B8">
                        <w:rPr>
                          <w:b/>
                          <w:bCs/>
                          <w:color w:val="2F5496" w:themeColor="accent1" w:themeShade="BF"/>
                        </w:rPr>
                        <w:t xml:space="preserve">Racial Steering:  </w:t>
                      </w:r>
                      <w:r w:rsidRPr="00A601B8">
                        <w:t>You cannot be told, “This is not your kind of neighborhood,” or “You wouldn’t feel comfortable living here,” or None of your kind of people live in this area”. Statements like this are “steering” and in violation of The Act.</w:t>
                      </w:r>
                    </w:p>
                    <w:p w14:paraId="52A3E74D" w14:textId="77777777" w:rsidR="000A65D0" w:rsidRPr="00A601B8" w:rsidRDefault="000A65D0" w:rsidP="000A65D0">
                      <w:pPr>
                        <w:pStyle w:val="ListParagraph"/>
                        <w:numPr>
                          <w:ilvl w:val="0"/>
                          <w:numId w:val="1"/>
                        </w:numPr>
                        <w:spacing w:after="60" w:line="240" w:lineRule="auto"/>
                        <w:contextualSpacing w:val="0"/>
                      </w:pPr>
                      <w:r w:rsidRPr="00A601B8">
                        <w:rPr>
                          <w:b/>
                          <w:bCs/>
                          <w:color w:val="2F5496" w:themeColor="accent1" w:themeShade="BF"/>
                        </w:rPr>
                        <w:t xml:space="preserve">Rental Discrimination:  </w:t>
                      </w:r>
                      <w:r w:rsidRPr="00A601B8">
                        <w:t>The terms of rental agreements cannot be changed to deny or discourage access to rental properties. Rental agreement terms must apply to all renters.</w:t>
                      </w:r>
                    </w:p>
                    <w:p w14:paraId="74ED5B9F" w14:textId="77777777" w:rsidR="000A65D0" w:rsidRPr="00A601B8" w:rsidRDefault="000A65D0" w:rsidP="000A65D0">
                      <w:pPr>
                        <w:pStyle w:val="ListParagraph"/>
                        <w:numPr>
                          <w:ilvl w:val="0"/>
                          <w:numId w:val="1"/>
                        </w:numPr>
                        <w:spacing w:after="60" w:line="240" w:lineRule="auto"/>
                        <w:contextualSpacing w:val="0"/>
                        <w:rPr>
                          <w:color w:val="2F5496" w:themeColor="accent1" w:themeShade="BF"/>
                        </w:rPr>
                      </w:pPr>
                      <w:r w:rsidRPr="00A601B8">
                        <w:rPr>
                          <w:b/>
                          <w:bCs/>
                          <w:color w:val="2F5496" w:themeColor="accent1" w:themeShade="BF"/>
                        </w:rPr>
                        <w:t xml:space="preserve">False Denials of Availability:  </w:t>
                      </w:r>
                      <w:r w:rsidRPr="00A601B8">
                        <w:t>It is a violation of The Act if a real estate salesperson, broker, or property agent says a property is unavailable when it is in fact available for rent or purchase.</w:t>
                      </w:r>
                    </w:p>
                    <w:p w14:paraId="50E0DD1E" w14:textId="77777777" w:rsidR="000A65D0" w:rsidRPr="00A601B8" w:rsidRDefault="000A65D0" w:rsidP="000A65D0">
                      <w:pPr>
                        <w:pStyle w:val="ListParagraph"/>
                        <w:numPr>
                          <w:ilvl w:val="0"/>
                          <w:numId w:val="1"/>
                        </w:numPr>
                        <w:spacing w:after="60" w:line="240" w:lineRule="auto"/>
                        <w:contextualSpacing w:val="0"/>
                        <w:rPr>
                          <w:color w:val="2F5496" w:themeColor="accent1" w:themeShade="BF"/>
                        </w:rPr>
                      </w:pPr>
                      <w:r w:rsidRPr="00A601B8">
                        <w:rPr>
                          <w:b/>
                          <w:bCs/>
                          <w:color w:val="2F5496" w:themeColor="accent1" w:themeShade="BF"/>
                        </w:rPr>
                        <w:t xml:space="preserve">Advertising Discrimination:  </w:t>
                      </w:r>
                      <w:r w:rsidRPr="00A601B8">
                        <w:t xml:space="preserve">Ads or commercials for housing cannot show any preference for renters or buyers based on race, color, national origin (or any of the other protected classes). </w:t>
                      </w:r>
                    </w:p>
                    <w:p w14:paraId="5D8FB990" w14:textId="77777777" w:rsidR="000A65D0" w:rsidRPr="00A601B8" w:rsidRDefault="000A65D0" w:rsidP="000A65D0">
                      <w:pPr>
                        <w:pStyle w:val="ListParagraph"/>
                        <w:numPr>
                          <w:ilvl w:val="0"/>
                          <w:numId w:val="1"/>
                        </w:numPr>
                        <w:spacing w:after="60" w:line="240" w:lineRule="auto"/>
                        <w:contextualSpacing w:val="0"/>
                        <w:rPr>
                          <w:color w:val="2F5496" w:themeColor="accent1" w:themeShade="BF"/>
                        </w:rPr>
                      </w:pPr>
                      <w:r w:rsidRPr="00A601B8">
                        <w:rPr>
                          <w:b/>
                          <w:bCs/>
                          <w:color w:val="2F5496" w:themeColor="accent1" w:themeShade="BF"/>
                        </w:rPr>
                        <w:t xml:space="preserve">Redlining:  </w:t>
                      </w:r>
                      <w:r w:rsidRPr="00A601B8">
                        <w:t>Lending institutions cannot change the interest rate or any loan term in a discriminatory manner to deny access to a neighborhood.</w:t>
                      </w:r>
                    </w:p>
                    <w:p w14:paraId="6DCEB834" w14:textId="77777777" w:rsidR="000A65D0" w:rsidRPr="00A601B8" w:rsidRDefault="000A65D0" w:rsidP="000A65D0">
                      <w:pPr>
                        <w:pStyle w:val="ListParagraph"/>
                        <w:numPr>
                          <w:ilvl w:val="0"/>
                          <w:numId w:val="1"/>
                        </w:numPr>
                        <w:spacing w:after="60" w:line="240" w:lineRule="auto"/>
                        <w:contextualSpacing w:val="0"/>
                      </w:pPr>
                      <w:r w:rsidRPr="00A601B8">
                        <w:rPr>
                          <w:b/>
                          <w:bCs/>
                          <w:color w:val="2F5496" w:themeColor="accent1" w:themeShade="BF"/>
                        </w:rPr>
                        <w:t xml:space="preserve">Lending Discrimination:  </w:t>
                      </w:r>
                      <w:r w:rsidRPr="00A601B8">
                        <w:t xml:space="preserve">It is in violation of The Act for mortgage lenders to engage in any of the following </w:t>
                      </w:r>
                      <w:proofErr w:type="gramStart"/>
                      <w:r w:rsidRPr="00A601B8">
                        <w:t>with regard to</w:t>
                      </w:r>
                      <w:proofErr w:type="gramEnd"/>
                      <w:r w:rsidRPr="00A601B8">
                        <w:t xml:space="preserve"> protected classes, including race, color, and national origin:</w:t>
                      </w:r>
                    </w:p>
                    <w:p w14:paraId="2E7D9C80" w14:textId="77777777" w:rsidR="000A65D0" w:rsidRPr="00A601B8" w:rsidRDefault="000A65D0" w:rsidP="000A65D0">
                      <w:pPr>
                        <w:pStyle w:val="ListParagraph"/>
                        <w:numPr>
                          <w:ilvl w:val="0"/>
                          <w:numId w:val="2"/>
                        </w:numPr>
                        <w:spacing w:after="0" w:line="240" w:lineRule="auto"/>
                        <w:ind w:left="1483"/>
                        <w:contextualSpacing w:val="0"/>
                      </w:pPr>
                      <w:r w:rsidRPr="00A601B8">
                        <w:t>Refusal to make a mortgage loan</w:t>
                      </w:r>
                    </w:p>
                    <w:p w14:paraId="23E9ACD9" w14:textId="77777777" w:rsidR="000A65D0" w:rsidRPr="00A601B8" w:rsidRDefault="000A65D0" w:rsidP="000A65D0">
                      <w:pPr>
                        <w:pStyle w:val="ListParagraph"/>
                        <w:numPr>
                          <w:ilvl w:val="0"/>
                          <w:numId w:val="2"/>
                        </w:numPr>
                        <w:spacing w:after="0" w:line="240" w:lineRule="auto"/>
                        <w:ind w:left="1483"/>
                        <w:contextualSpacing w:val="0"/>
                      </w:pPr>
                      <w:r w:rsidRPr="00A601B8">
                        <w:t>Refusal to provide information regarding loans</w:t>
                      </w:r>
                    </w:p>
                    <w:p w14:paraId="5698CC35" w14:textId="77777777" w:rsidR="000A65D0" w:rsidRPr="00A601B8" w:rsidRDefault="000A65D0" w:rsidP="000A65D0">
                      <w:pPr>
                        <w:pStyle w:val="ListParagraph"/>
                        <w:numPr>
                          <w:ilvl w:val="0"/>
                          <w:numId w:val="2"/>
                        </w:numPr>
                        <w:spacing w:after="0" w:line="240" w:lineRule="auto"/>
                        <w:ind w:left="1483"/>
                        <w:contextualSpacing w:val="0"/>
                      </w:pPr>
                      <w:r w:rsidRPr="00A601B8">
                        <w:t>Imposing different terms or conditions, such as interest rates, points, or fees</w:t>
                      </w:r>
                    </w:p>
                    <w:p w14:paraId="3EDF031E" w14:textId="77777777" w:rsidR="000A65D0" w:rsidRPr="00A601B8" w:rsidRDefault="000A65D0" w:rsidP="000A65D0">
                      <w:pPr>
                        <w:pStyle w:val="ListParagraph"/>
                        <w:numPr>
                          <w:ilvl w:val="0"/>
                          <w:numId w:val="2"/>
                        </w:numPr>
                        <w:spacing w:after="0" w:line="240" w:lineRule="auto"/>
                        <w:ind w:left="1483"/>
                        <w:contextualSpacing w:val="0"/>
                      </w:pPr>
                      <w:r w:rsidRPr="00A601B8">
                        <w:t>Discrimination in appraising property</w:t>
                      </w:r>
                    </w:p>
                    <w:p w14:paraId="0C876507" w14:textId="77777777" w:rsidR="000A65D0" w:rsidRDefault="000A65D0" w:rsidP="000A65D0">
                      <w:pPr>
                        <w:pStyle w:val="ListParagraph"/>
                        <w:numPr>
                          <w:ilvl w:val="0"/>
                          <w:numId w:val="2"/>
                        </w:numPr>
                      </w:pPr>
                      <w:r w:rsidRPr="00A601B8">
                        <w:t>Refusal to purchase a loan or set different terms or conditions for purchasing a loan</w:t>
                      </w:r>
                    </w:p>
                  </w:txbxContent>
                </v:textbox>
              </v:shape>
            </w:pict>
          </mc:Fallback>
        </mc:AlternateContent>
      </w:r>
    </w:p>
    <w:p w14:paraId="2B8C90B5" w14:textId="4A983A9B" w:rsidR="000A65D0" w:rsidRDefault="000A65D0" w:rsidP="000A65D0">
      <w:pPr>
        <w:rPr>
          <w:sz w:val="24"/>
          <w:szCs w:val="24"/>
        </w:rPr>
      </w:pPr>
    </w:p>
    <w:p w14:paraId="4D0D37C1" w14:textId="72FAF554" w:rsidR="000A65D0" w:rsidRDefault="000A65D0" w:rsidP="000A65D0">
      <w:pPr>
        <w:rPr>
          <w:sz w:val="24"/>
          <w:szCs w:val="24"/>
        </w:rPr>
      </w:pPr>
    </w:p>
    <w:p w14:paraId="20A2965F" w14:textId="186F81EC" w:rsidR="000A65D0" w:rsidRDefault="000A65D0" w:rsidP="000A65D0">
      <w:pPr>
        <w:rPr>
          <w:sz w:val="24"/>
          <w:szCs w:val="24"/>
        </w:rPr>
      </w:pPr>
    </w:p>
    <w:p w14:paraId="08D7F22F" w14:textId="5F72B86F" w:rsidR="000A65D0" w:rsidRDefault="000A65D0" w:rsidP="000A65D0">
      <w:pPr>
        <w:rPr>
          <w:sz w:val="24"/>
          <w:szCs w:val="24"/>
        </w:rPr>
      </w:pPr>
    </w:p>
    <w:p w14:paraId="4F1A5F7A" w14:textId="41CDAD67" w:rsidR="000A65D0" w:rsidRDefault="000A65D0" w:rsidP="000A65D0">
      <w:pPr>
        <w:rPr>
          <w:sz w:val="24"/>
          <w:szCs w:val="24"/>
        </w:rPr>
      </w:pPr>
    </w:p>
    <w:p w14:paraId="0A821958" w14:textId="3C12FF0A" w:rsidR="000A65D0" w:rsidRDefault="000A65D0" w:rsidP="000A65D0">
      <w:pPr>
        <w:rPr>
          <w:sz w:val="24"/>
          <w:szCs w:val="24"/>
        </w:rPr>
      </w:pPr>
    </w:p>
    <w:p w14:paraId="3FCEF3B5" w14:textId="01682EC4" w:rsidR="000A65D0" w:rsidRDefault="000A65D0" w:rsidP="000A65D0">
      <w:pPr>
        <w:rPr>
          <w:sz w:val="24"/>
          <w:szCs w:val="24"/>
        </w:rPr>
      </w:pPr>
    </w:p>
    <w:p w14:paraId="14D6B7AC" w14:textId="0C510A3F" w:rsidR="000A65D0" w:rsidRDefault="000A65D0" w:rsidP="000A65D0">
      <w:pPr>
        <w:rPr>
          <w:sz w:val="24"/>
          <w:szCs w:val="24"/>
        </w:rPr>
      </w:pPr>
    </w:p>
    <w:p w14:paraId="1C02B9D1" w14:textId="2F9F351F" w:rsidR="000A65D0" w:rsidRDefault="000A65D0" w:rsidP="000A65D0">
      <w:pPr>
        <w:rPr>
          <w:sz w:val="24"/>
          <w:szCs w:val="24"/>
        </w:rPr>
      </w:pPr>
    </w:p>
    <w:p w14:paraId="09C5AC36" w14:textId="7F6C4973" w:rsidR="000A65D0" w:rsidRDefault="000A65D0" w:rsidP="000A65D0">
      <w:pPr>
        <w:rPr>
          <w:sz w:val="24"/>
          <w:szCs w:val="24"/>
        </w:rPr>
      </w:pPr>
    </w:p>
    <w:p w14:paraId="784AC150" w14:textId="66E71E4F" w:rsidR="000A65D0" w:rsidRDefault="000A65D0" w:rsidP="000A65D0">
      <w:pPr>
        <w:rPr>
          <w:sz w:val="24"/>
          <w:szCs w:val="24"/>
        </w:rPr>
      </w:pPr>
    </w:p>
    <w:p w14:paraId="4B82AD77" w14:textId="3C92983D" w:rsidR="000A65D0" w:rsidRDefault="000A65D0" w:rsidP="000A65D0">
      <w:pPr>
        <w:rPr>
          <w:sz w:val="24"/>
          <w:szCs w:val="24"/>
        </w:rPr>
      </w:pPr>
    </w:p>
    <w:p w14:paraId="65E6E378" w14:textId="6CFE52AA" w:rsidR="00596CF8" w:rsidRDefault="00E478C9" w:rsidP="000A65D0">
      <w:pPr>
        <w:rPr>
          <w:sz w:val="24"/>
          <w:szCs w:val="24"/>
        </w:rPr>
      </w:pPr>
      <w:r>
        <w:rPr>
          <w:noProof/>
        </w:rPr>
        <w:drawing>
          <wp:anchor distT="0" distB="0" distL="114300" distR="114300" simplePos="0" relativeHeight="251663360" behindDoc="0" locked="0" layoutInCell="1" allowOverlap="1" wp14:anchorId="33A4C4FE" wp14:editId="6841BE6C">
            <wp:simplePos x="0" y="0"/>
            <wp:positionH relativeFrom="column">
              <wp:posOffset>6299200</wp:posOffset>
            </wp:positionH>
            <wp:positionV relativeFrom="paragraph">
              <wp:posOffset>63500</wp:posOffset>
            </wp:positionV>
            <wp:extent cx="679450" cy="851535"/>
            <wp:effectExtent l="0" t="0" r="6350" b="5715"/>
            <wp:wrapSquare wrapText="bothSides"/>
            <wp:docPr id="2" name="Picture 2"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row&#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9450" cy="851535"/>
                    </a:xfrm>
                    <a:prstGeom prst="rect">
                      <a:avLst/>
                    </a:prstGeom>
                  </pic:spPr>
                </pic:pic>
              </a:graphicData>
            </a:graphic>
            <wp14:sizeRelH relativeFrom="margin">
              <wp14:pctWidth>0</wp14:pctWidth>
            </wp14:sizeRelH>
            <wp14:sizeRelV relativeFrom="margin">
              <wp14:pctHeight>0</wp14:pctHeight>
            </wp14:sizeRelV>
          </wp:anchor>
        </w:drawing>
      </w:r>
      <w:r w:rsidRPr="00D73F95">
        <w:rPr>
          <w:noProof/>
          <w:sz w:val="28"/>
          <w:szCs w:val="28"/>
        </w:rPr>
        <w:drawing>
          <wp:anchor distT="0" distB="0" distL="114300" distR="114300" simplePos="0" relativeHeight="251661312" behindDoc="0" locked="0" layoutInCell="1" allowOverlap="1" wp14:anchorId="36BA962E" wp14:editId="5B7124D8">
            <wp:simplePos x="0" y="0"/>
            <wp:positionH relativeFrom="column">
              <wp:posOffset>-158750</wp:posOffset>
            </wp:positionH>
            <wp:positionV relativeFrom="paragraph">
              <wp:posOffset>63500</wp:posOffset>
            </wp:positionV>
            <wp:extent cx="793750" cy="854710"/>
            <wp:effectExtent l="0" t="0" r="6350" b="2540"/>
            <wp:wrapSquare wrapText="bothSides"/>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3750" cy="854710"/>
                    </a:xfrm>
                    <a:prstGeom prst="rect">
                      <a:avLst/>
                    </a:prstGeom>
                  </pic:spPr>
                </pic:pic>
              </a:graphicData>
            </a:graphic>
            <wp14:sizeRelH relativeFrom="margin">
              <wp14:pctWidth>0</wp14:pctWidth>
            </wp14:sizeRelH>
            <wp14:sizeRelV relativeFrom="margin">
              <wp14:pctHeight>0</wp14:pctHeight>
            </wp14:sizeRelV>
          </wp:anchor>
        </w:drawing>
      </w:r>
      <w:r w:rsidR="00596CF8">
        <w:rPr>
          <w:sz w:val="24"/>
          <w:szCs w:val="24"/>
        </w:rPr>
        <w:t xml:space="preserve">If you think you have been the victim of housing discrimination based on race, color, national origin, (or any of the protected classes), you may file a complaint with the U. S. Department of Housing and Urban Development at </w:t>
      </w:r>
      <w:hyperlink r:id="rId9" w:history="1">
        <w:r w:rsidR="00596CF8" w:rsidRPr="00096338">
          <w:rPr>
            <w:rStyle w:val="Hyperlink"/>
            <w:sz w:val="24"/>
            <w:szCs w:val="24"/>
          </w:rPr>
          <w:t>https://www.hud.gov/program_offices/fair_housing_equal_opp/online-complaint</w:t>
        </w:r>
      </w:hyperlink>
      <w:r w:rsidR="00596CF8">
        <w:rPr>
          <w:sz w:val="24"/>
          <w:szCs w:val="24"/>
        </w:rPr>
        <w:t xml:space="preserve"> or the Colorado Civil Rights Division at </w:t>
      </w:r>
      <w:hyperlink r:id="rId10" w:history="1">
        <w:r w:rsidR="00596CF8" w:rsidRPr="00096338">
          <w:rPr>
            <w:rStyle w:val="Hyperlink"/>
            <w:sz w:val="24"/>
            <w:szCs w:val="24"/>
          </w:rPr>
          <w:t>https://ccrd.colorado.gov/</w:t>
        </w:r>
      </w:hyperlink>
      <w:r w:rsidR="00596CF8">
        <w:rPr>
          <w:sz w:val="24"/>
          <w:szCs w:val="24"/>
        </w:rPr>
        <w:t>.</w:t>
      </w:r>
    </w:p>
    <w:p w14:paraId="0624A831" w14:textId="0BB28000" w:rsidR="000A65D0" w:rsidRDefault="000A65D0" w:rsidP="00A601B8">
      <w:pPr>
        <w:spacing w:after="60"/>
      </w:pPr>
    </w:p>
    <w:tbl>
      <w:tblPr>
        <w:tblStyle w:val="TableGrid"/>
        <w:tblW w:w="11126" w:type="dxa"/>
        <w:tblInd w:w="-360" w:type="dxa"/>
        <w:tblLayout w:type="fixed"/>
        <w:tblLook w:val="04A0" w:firstRow="1" w:lastRow="0" w:firstColumn="1" w:lastColumn="0" w:noHBand="0" w:noVBand="1"/>
      </w:tblPr>
      <w:tblGrid>
        <w:gridCol w:w="6660"/>
        <w:gridCol w:w="270"/>
        <w:gridCol w:w="270"/>
        <w:gridCol w:w="3926"/>
      </w:tblGrid>
      <w:tr w:rsidR="00A534ED" w14:paraId="5A1C2BC3" w14:textId="77777777" w:rsidTr="00A534ED">
        <w:trPr>
          <w:trHeight w:val="293"/>
        </w:trPr>
        <w:tc>
          <w:tcPr>
            <w:tcW w:w="6660" w:type="dxa"/>
            <w:vMerge w:val="restart"/>
            <w:tcBorders>
              <w:top w:val="nil"/>
              <w:left w:val="nil"/>
              <w:bottom w:val="nil"/>
              <w:right w:val="nil"/>
            </w:tcBorders>
            <w:shd w:val="clear" w:color="auto" w:fill="2F5496" w:themeFill="accent1" w:themeFillShade="BF"/>
            <w:vAlign w:val="center"/>
          </w:tcPr>
          <w:p w14:paraId="70DE092D" w14:textId="5D0D6CE3" w:rsidR="00A534ED" w:rsidRPr="00A534ED" w:rsidRDefault="00A534ED" w:rsidP="004557EF">
            <w:pPr>
              <w:pStyle w:val="Header"/>
              <w:shd w:val="clear" w:color="auto" w:fill="2F5496" w:themeFill="accent1" w:themeFillShade="BF"/>
              <w:tabs>
                <w:tab w:val="clear" w:pos="4680"/>
                <w:tab w:val="clear" w:pos="9360"/>
                <w:tab w:val="center" w:pos="5020"/>
                <w:tab w:val="right" w:pos="10440"/>
              </w:tabs>
              <w:ind w:right="-1080"/>
              <w:rPr>
                <w:b/>
                <w:bCs/>
                <w:color w:val="FFFFFF" w:themeColor="background1"/>
                <w:sz w:val="24"/>
                <w:szCs w:val="24"/>
              </w:rPr>
            </w:pPr>
            <w:r w:rsidRPr="00A534ED">
              <w:rPr>
                <w:b/>
                <w:bCs/>
                <w:color w:val="FFFFFF" w:themeColor="background1"/>
                <w:sz w:val="24"/>
                <w:szCs w:val="24"/>
              </w:rPr>
              <w:t>Learn more about the Fair</w:t>
            </w:r>
            <w:r>
              <w:rPr>
                <w:b/>
                <w:bCs/>
                <w:color w:val="FFFFFF" w:themeColor="background1"/>
                <w:sz w:val="24"/>
                <w:szCs w:val="24"/>
              </w:rPr>
              <w:t xml:space="preserve"> Housing Act of 1968 at </w:t>
            </w:r>
            <w:r w:rsidRPr="00A534ED">
              <w:rPr>
                <w:b/>
                <w:bCs/>
                <w:color w:val="FFFFFF" w:themeColor="background1"/>
                <w:sz w:val="20"/>
                <w:szCs w:val="20"/>
              </w:rPr>
              <w:t>https://www.hud.gov/program_offices/fair_housing_equal_opp</w:t>
            </w:r>
          </w:p>
        </w:tc>
        <w:tc>
          <w:tcPr>
            <w:tcW w:w="270" w:type="dxa"/>
            <w:vMerge w:val="restart"/>
            <w:tcBorders>
              <w:top w:val="nil"/>
              <w:left w:val="nil"/>
              <w:bottom w:val="nil"/>
              <w:right w:val="single" w:sz="24" w:space="0" w:color="FFFFFF" w:themeColor="background1"/>
            </w:tcBorders>
            <w:shd w:val="clear" w:color="auto" w:fill="2F5496" w:themeFill="accent1" w:themeFillShade="BF"/>
            <w:vAlign w:val="center"/>
          </w:tcPr>
          <w:p w14:paraId="3337A64F" w14:textId="77777777" w:rsidR="00A534ED" w:rsidRPr="00A534ED" w:rsidRDefault="00A534ED" w:rsidP="00617BF0">
            <w:pPr>
              <w:pStyle w:val="Header"/>
              <w:shd w:val="clear" w:color="auto" w:fill="2F5496" w:themeFill="accent1" w:themeFillShade="BF"/>
              <w:tabs>
                <w:tab w:val="clear" w:pos="4680"/>
                <w:tab w:val="clear" w:pos="9360"/>
                <w:tab w:val="center" w:pos="5020"/>
                <w:tab w:val="right" w:pos="10440"/>
              </w:tabs>
              <w:ind w:right="-1080"/>
              <w:rPr>
                <w:b/>
                <w:bCs/>
                <w:color w:val="FFFFFF" w:themeColor="background1"/>
                <w:sz w:val="24"/>
                <w:szCs w:val="24"/>
              </w:rPr>
            </w:pPr>
          </w:p>
        </w:tc>
        <w:tc>
          <w:tcPr>
            <w:tcW w:w="270" w:type="dxa"/>
            <w:vMerge w:val="restart"/>
            <w:tcBorders>
              <w:top w:val="nil"/>
              <w:left w:val="single" w:sz="24" w:space="0" w:color="FFFFFF" w:themeColor="background1"/>
              <w:bottom w:val="nil"/>
              <w:right w:val="nil"/>
            </w:tcBorders>
            <w:shd w:val="clear" w:color="auto" w:fill="2F5496" w:themeFill="accent1" w:themeFillShade="BF"/>
            <w:vAlign w:val="center"/>
          </w:tcPr>
          <w:p w14:paraId="792470B4" w14:textId="478ACF18" w:rsidR="00A534ED" w:rsidRPr="00A534ED" w:rsidRDefault="00A534ED" w:rsidP="00617BF0">
            <w:pPr>
              <w:pStyle w:val="Header"/>
              <w:shd w:val="clear" w:color="auto" w:fill="2F5496" w:themeFill="accent1" w:themeFillShade="BF"/>
              <w:tabs>
                <w:tab w:val="clear" w:pos="4680"/>
                <w:tab w:val="clear" w:pos="9360"/>
                <w:tab w:val="center" w:pos="5020"/>
                <w:tab w:val="right" w:pos="10440"/>
              </w:tabs>
              <w:ind w:right="-1080"/>
              <w:rPr>
                <w:b/>
                <w:bCs/>
                <w:color w:val="FFFFFF" w:themeColor="background1"/>
                <w:sz w:val="24"/>
                <w:szCs w:val="24"/>
              </w:rPr>
            </w:pPr>
          </w:p>
        </w:tc>
        <w:tc>
          <w:tcPr>
            <w:tcW w:w="3926" w:type="dxa"/>
            <w:vMerge w:val="restart"/>
            <w:tcBorders>
              <w:top w:val="nil"/>
              <w:left w:val="nil"/>
              <w:bottom w:val="nil"/>
              <w:right w:val="nil"/>
            </w:tcBorders>
            <w:shd w:val="clear" w:color="auto" w:fill="2F5496" w:themeFill="accent1" w:themeFillShade="BF"/>
            <w:vAlign w:val="center"/>
          </w:tcPr>
          <w:p w14:paraId="0A7CD9BA" w14:textId="1355DF50" w:rsidR="00A534ED" w:rsidRPr="004557EF" w:rsidRDefault="00A534ED" w:rsidP="00A534ED">
            <w:pPr>
              <w:pStyle w:val="Header"/>
              <w:shd w:val="clear" w:color="auto" w:fill="2F5496" w:themeFill="accent1" w:themeFillShade="BF"/>
              <w:tabs>
                <w:tab w:val="clear" w:pos="4680"/>
                <w:tab w:val="clear" w:pos="9360"/>
                <w:tab w:val="center" w:pos="5570"/>
                <w:tab w:val="right" w:pos="10440"/>
              </w:tabs>
              <w:ind w:right="-1080"/>
              <w:rPr>
                <w:rFonts w:ascii="Times New Roman" w:hAnsi="Times New Roman" w:cs="Times New Roman"/>
                <w:b/>
                <w:bCs/>
                <w:color w:val="FFFFFF" w:themeColor="background1"/>
              </w:rPr>
            </w:pPr>
            <w:r w:rsidRPr="00A534ED">
              <w:rPr>
                <w:rFonts w:ascii="Times New Roman" w:hAnsi="Times New Roman" w:cs="Times New Roman"/>
                <w:b/>
                <w:bCs/>
                <w:noProof/>
                <w:color w:val="FFFFFF" w:themeColor="background1"/>
                <w:sz w:val="18"/>
                <w:szCs w:val="18"/>
              </w:rPr>
              <w:drawing>
                <wp:anchor distT="0" distB="0" distL="114300" distR="114300" simplePos="0" relativeHeight="251668480" behindDoc="0" locked="0" layoutInCell="1" allowOverlap="1" wp14:anchorId="5AF984A6" wp14:editId="77030D65">
                  <wp:simplePos x="0" y="0"/>
                  <wp:positionH relativeFrom="column">
                    <wp:posOffset>-891540</wp:posOffset>
                  </wp:positionH>
                  <wp:positionV relativeFrom="paragraph">
                    <wp:posOffset>-2540</wp:posOffset>
                  </wp:positionV>
                  <wp:extent cx="773430" cy="396240"/>
                  <wp:effectExtent l="0" t="0" r="7620" b="3810"/>
                  <wp:wrapSquare wrapText="bothSides"/>
                  <wp:docPr id="4" name="Picture 4" descr="A close-up of some scisso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some scissors&#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773430" cy="396240"/>
                          </a:xfrm>
                          <a:prstGeom prst="rect">
                            <a:avLst/>
                          </a:prstGeom>
                        </pic:spPr>
                      </pic:pic>
                    </a:graphicData>
                  </a:graphic>
                  <wp14:sizeRelH relativeFrom="margin">
                    <wp14:pctWidth>0</wp14:pctWidth>
                  </wp14:sizeRelH>
                  <wp14:sizeRelV relativeFrom="margin">
                    <wp14:pctHeight>0</wp14:pctHeight>
                  </wp14:sizeRelV>
                </wp:anchor>
              </w:drawing>
            </w:r>
            <w:r w:rsidRPr="00A534ED">
              <w:rPr>
                <w:rFonts w:ascii="Times New Roman" w:hAnsi="Times New Roman" w:cs="Times New Roman"/>
                <w:b/>
                <w:bCs/>
                <w:color w:val="FFFFFF" w:themeColor="background1"/>
                <w:sz w:val="18"/>
                <w:szCs w:val="18"/>
              </w:rPr>
              <w:t xml:space="preserve"> </w:t>
            </w:r>
            <w:r>
              <w:rPr>
                <w:rFonts w:ascii="Times New Roman" w:hAnsi="Times New Roman" w:cs="Times New Roman"/>
                <w:b/>
                <w:bCs/>
                <w:color w:val="FFFFFF" w:themeColor="background1"/>
                <w:sz w:val="18"/>
                <w:szCs w:val="18"/>
              </w:rPr>
              <w:t xml:space="preserve"> </w:t>
            </w:r>
            <w:r w:rsidRPr="004557EF">
              <w:rPr>
                <w:rFonts w:ascii="Times New Roman" w:hAnsi="Times New Roman" w:cs="Times New Roman"/>
                <w:b/>
                <w:bCs/>
                <w:color w:val="FFFFFF" w:themeColor="background1"/>
              </w:rPr>
              <w:t>ECONOMIC HEALTH</w:t>
            </w:r>
          </w:p>
          <w:p w14:paraId="635F4D0F" w14:textId="141A31DB" w:rsidR="00A534ED" w:rsidRPr="00A534ED" w:rsidRDefault="00A534ED" w:rsidP="00617BF0">
            <w:pPr>
              <w:pStyle w:val="Header"/>
              <w:shd w:val="clear" w:color="auto" w:fill="2F5496" w:themeFill="accent1" w:themeFillShade="BF"/>
              <w:tabs>
                <w:tab w:val="clear" w:pos="4680"/>
                <w:tab w:val="clear" w:pos="9360"/>
                <w:tab w:val="center" w:pos="5570"/>
                <w:tab w:val="right" w:pos="10440"/>
              </w:tabs>
              <w:ind w:right="-1080"/>
              <w:rPr>
                <w:rFonts w:ascii="Times New Roman" w:hAnsi="Times New Roman" w:cs="Times New Roman"/>
                <w:b/>
                <w:bCs/>
                <w:color w:val="FFFFFF" w:themeColor="background1"/>
                <w:sz w:val="18"/>
                <w:szCs w:val="18"/>
              </w:rPr>
            </w:pPr>
            <w:r w:rsidRPr="004557EF">
              <w:rPr>
                <w:rFonts w:ascii="Times New Roman" w:hAnsi="Times New Roman" w:cs="Times New Roman"/>
                <w:b/>
                <w:bCs/>
                <w:color w:val="FFFFFF" w:themeColor="background1"/>
              </w:rPr>
              <w:t xml:space="preserve">        AND HOUSING</w:t>
            </w:r>
          </w:p>
        </w:tc>
      </w:tr>
      <w:tr w:rsidR="00A534ED" w14:paraId="46E417C7" w14:textId="77777777" w:rsidTr="00A534ED">
        <w:trPr>
          <w:trHeight w:val="269"/>
        </w:trPr>
        <w:tc>
          <w:tcPr>
            <w:tcW w:w="6660" w:type="dxa"/>
            <w:vMerge/>
            <w:tcBorders>
              <w:top w:val="nil"/>
              <w:left w:val="nil"/>
              <w:bottom w:val="nil"/>
              <w:right w:val="nil"/>
            </w:tcBorders>
            <w:shd w:val="clear" w:color="auto" w:fill="2F5496" w:themeFill="accent1" w:themeFillShade="BF"/>
          </w:tcPr>
          <w:p w14:paraId="6646D851" w14:textId="77777777" w:rsidR="00A534ED" w:rsidRDefault="00A534ED" w:rsidP="00617BF0">
            <w:pPr>
              <w:pStyle w:val="Header"/>
              <w:shd w:val="clear" w:color="auto" w:fill="2F5496" w:themeFill="accent1" w:themeFillShade="BF"/>
              <w:tabs>
                <w:tab w:val="clear" w:pos="9360"/>
                <w:tab w:val="right" w:pos="10440"/>
              </w:tabs>
              <w:ind w:right="-1080"/>
            </w:pPr>
          </w:p>
        </w:tc>
        <w:tc>
          <w:tcPr>
            <w:tcW w:w="270" w:type="dxa"/>
            <w:vMerge/>
            <w:tcBorders>
              <w:top w:val="nil"/>
              <w:left w:val="nil"/>
              <w:bottom w:val="nil"/>
              <w:right w:val="single" w:sz="24" w:space="0" w:color="FFFFFF" w:themeColor="background1"/>
            </w:tcBorders>
            <w:shd w:val="clear" w:color="auto" w:fill="2F5496" w:themeFill="accent1" w:themeFillShade="BF"/>
          </w:tcPr>
          <w:p w14:paraId="4AE4D34B" w14:textId="77777777" w:rsidR="00A534ED" w:rsidRDefault="00A534ED" w:rsidP="00617BF0">
            <w:pPr>
              <w:pStyle w:val="Header"/>
              <w:shd w:val="clear" w:color="auto" w:fill="2F5496" w:themeFill="accent1" w:themeFillShade="BF"/>
              <w:tabs>
                <w:tab w:val="clear" w:pos="9360"/>
                <w:tab w:val="right" w:pos="10440"/>
              </w:tabs>
              <w:ind w:right="-1080"/>
            </w:pPr>
          </w:p>
        </w:tc>
        <w:tc>
          <w:tcPr>
            <w:tcW w:w="270" w:type="dxa"/>
            <w:vMerge/>
            <w:tcBorders>
              <w:top w:val="nil"/>
              <w:left w:val="single" w:sz="24" w:space="0" w:color="FFFFFF" w:themeColor="background1"/>
              <w:bottom w:val="nil"/>
              <w:right w:val="nil"/>
            </w:tcBorders>
            <w:shd w:val="clear" w:color="auto" w:fill="2F5496" w:themeFill="accent1" w:themeFillShade="BF"/>
          </w:tcPr>
          <w:p w14:paraId="05C7C696" w14:textId="3E0B19AD" w:rsidR="00A534ED" w:rsidRDefault="00A534ED" w:rsidP="00617BF0">
            <w:pPr>
              <w:pStyle w:val="Header"/>
              <w:shd w:val="clear" w:color="auto" w:fill="2F5496" w:themeFill="accent1" w:themeFillShade="BF"/>
              <w:tabs>
                <w:tab w:val="clear" w:pos="9360"/>
                <w:tab w:val="right" w:pos="10440"/>
              </w:tabs>
              <w:ind w:right="-1080"/>
            </w:pPr>
          </w:p>
        </w:tc>
        <w:tc>
          <w:tcPr>
            <w:tcW w:w="3926" w:type="dxa"/>
            <w:vMerge/>
            <w:tcBorders>
              <w:top w:val="nil"/>
              <w:left w:val="nil"/>
              <w:bottom w:val="nil"/>
              <w:right w:val="nil"/>
            </w:tcBorders>
            <w:shd w:val="clear" w:color="auto" w:fill="2F5496" w:themeFill="accent1" w:themeFillShade="BF"/>
          </w:tcPr>
          <w:p w14:paraId="28790C92" w14:textId="77777777" w:rsidR="00A534ED" w:rsidRDefault="00A534ED" w:rsidP="00617BF0">
            <w:pPr>
              <w:pStyle w:val="Header"/>
              <w:shd w:val="clear" w:color="auto" w:fill="2F5496" w:themeFill="accent1" w:themeFillShade="BF"/>
              <w:tabs>
                <w:tab w:val="clear" w:pos="9360"/>
                <w:tab w:val="right" w:pos="10440"/>
              </w:tabs>
              <w:ind w:right="-1080"/>
            </w:pPr>
          </w:p>
        </w:tc>
      </w:tr>
      <w:tr w:rsidR="00A534ED" w14:paraId="120B8243" w14:textId="77777777" w:rsidTr="00A534ED">
        <w:trPr>
          <w:trHeight w:val="603"/>
        </w:trPr>
        <w:tc>
          <w:tcPr>
            <w:tcW w:w="6660" w:type="dxa"/>
            <w:vMerge/>
            <w:tcBorders>
              <w:top w:val="nil"/>
              <w:left w:val="nil"/>
              <w:bottom w:val="nil"/>
              <w:right w:val="nil"/>
            </w:tcBorders>
            <w:shd w:val="clear" w:color="auto" w:fill="2F5496" w:themeFill="accent1" w:themeFillShade="BF"/>
          </w:tcPr>
          <w:p w14:paraId="2EED9760" w14:textId="77777777" w:rsidR="00A534ED" w:rsidRDefault="00A534ED" w:rsidP="00617BF0">
            <w:pPr>
              <w:pStyle w:val="Header"/>
              <w:shd w:val="clear" w:color="auto" w:fill="2F5496" w:themeFill="accent1" w:themeFillShade="BF"/>
              <w:tabs>
                <w:tab w:val="clear" w:pos="9360"/>
                <w:tab w:val="right" w:pos="10440"/>
              </w:tabs>
              <w:ind w:right="-1080"/>
            </w:pPr>
          </w:p>
        </w:tc>
        <w:tc>
          <w:tcPr>
            <w:tcW w:w="270" w:type="dxa"/>
            <w:vMerge/>
            <w:tcBorders>
              <w:top w:val="nil"/>
              <w:left w:val="nil"/>
              <w:bottom w:val="nil"/>
              <w:right w:val="single" w:sz="24" w:space="0" w:color="FFFFFF" w:themeColor="background1"/>
            </w:tcBorders>
            <w:shd w:val="clear" w:color="auto" w:fill="2F5496" w:themeFill="accent1" w:themeFillShade="BF"/>
          </w:tcPr>
          <w:p w14:paraId="6ADD1212" w14:textId="77777777" w:rsidR="00A534ED" w:rsidRDefault="00A534ED" w:rsidP="00617BF0">
            <w:pPr>
              <w:pStyle w:val="Header"/>
              <w:shd w:val="clear" w:color="auto" w:fill="2F5496" w:themeFill="accent1" w:themeFillShade="BF"/>
              <w:tabs>
                <w:tab w:val="clear" w:pos="9360"/>
                <w:tab w:val="right" w:pos="10440"/>
              </w:tabs>
              <w:ind w:right="-1080"/>
            </w:pPr>
          </w:p>
        </w:tc>
        <w:tc>
          <w:tcPr>
            <w:tcW w:w="270" w:type="dxa"/>
            <w:vMerge/>
            <w:tcBorders>
              <w:top w:val="nil"/>
              <w:left w:val="single" w:sz="24" w:space="0" w:color="FFFFFF" w:themeColor="background1"/>
              <w:bottom w:val="nil"/>
              <w:right w:val="nil"/>
            </w:tcBorders>
            <w:shd w:val="clear" w:color="auto" w:fill="2F5496" w:themeFill="accent1" w:themeFillShade="BF"/>
          </w:tcPr>
          <w:p w14:paraId="377105DC" w14:textId="33BCBE4B" w:rsidR="00A534ED" w:rsidRDefault="00A534ED" w:rsidP="00617BF0">
            <w:pPr>
              <w:pStyle w:val="Header"/>
              <w:shd w:val="clear" w:color="auto" w:fill="2F5496" w:themeFill="accent1" w:themeFillShade="BF"/>
              <w:tabs>
                <w:tab w:val="clear" w:pos="9360"/>
                <w:tab w:val="right" w:pos="10440"/>
              </w:tabs>
              <w:ind w:right="-1080"/>
            </w:pPr>
          </w:p>
        </w:tc>
        <w:tc>
          <w:tcPr>
            <w:tcW w:w="3926" w:type="dxa"/>
            <w:vMerge/>
            <w:tcBorders>
              <w:top w:val="nil"/>
              <w:left w:val="nil"/>
              <w:bottom w:val="nil"/>
              <w:right w:val="nil"/>
            </w:tcBorders>
            <w:shd w:val="clear" w:color="auto" w:fill="2F5496" w:themeFill="accent1" w:themeFillShade="BF"/>
          </w:tcPr>
          <w:p w14:paraId="79E99BD0" w14:textId="77777777" w:rsidR="00A534ED" w:rsidRDefault="00A534ED" w:rsidP="00617BF0">
            <w:pPr>
              <w:pStyle w:val="Header"/>
              <w:shd w:val="clear" w:color="auto" w:fill="2F5496" w:themeFill="accent1" w:themeFillShade="BF"/>
              <w:tabs>
                <w:tab w:val="clear" w:pos="9360"/>
                <w:tab w:val="right" w:pos="10440"/>
              </w:tabs>
              <w:ind w:right="-1080"/>
            </w:pPr>
          </w:p>
        </w:tc>
      </w:tr>
    </w:tbl>
    <w:p w14:paraId="78C6CF42" w14:textId="34760329" w:rsidR="00A601B8" w:rsidRPr="00A601B8" w:rsidRDefault="00A601B8" w:rsidP="00A601B8">
      <w:pPr>
        <w:spacing w:after="60"/>
        <w:rPr>
          <w:sz w:val="24"/>
          <w:szCs w:val="24"/>
        </w:rPr>
      </w:pPr>
    </w:p>
    <w:sectPr w:rsidR="00A601B8" w:rsidRPr="00A601B8" w:rsidSect="00A534ED">
      <w:pgSz w:w="12240" w:h="15840"/>
      <w:pgMar w:top="270" w:right="810" w:bottom="9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D17BF" w14:textId="77777777" w:rsidR="0095398D" w:rsidRDefault="0095398D" w:rsidP="0095398D">
      <w:pPr>
        <w:spacing w:after="0" w:line="240" w:lineRule="auto"/>
      </w:pPr>
      <w:r>
        <w:separator/>
      </w:r>
    </w:p>
  </w:endnote>
  <w:endnote w:type="continuationSeparator" w:id="0">
    <w:p w14:paraId="2293A351" w14:textId="77777777" w:rsidR="0095398D" w:rsidRDefault="0095398D" w:rsidP="00953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B5313" w14:textId="77777777" w:rsidR="0095398D" w:rsidRDefault="0095398D" w:rsidP="0095398D">
      <w:pPr>
        <w:spacing w:after="0" w:line="240" w:lineRule="auto"/>
      </w:pPr>
      <w:r>
        <w:separator/>
      </w:r>
    </w:p>
  </w:footnote>
  <w:footnote w:type="continuationSeparator" w:id="0">
    <w:p w14:paraId="37D56ED0" w14:textId="77777777" w:rsidR="0095398D" w:rsidRDefault="0095398D" w:rsidP="009539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1953"/>
    <w:multiLevelType w:val="hybridMultilevel"/>
    <w:tmpl w:val="9FF4D06A"/>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 w15:restartNumberingAfterBreak="0">
    <w:nsid w:val="4CCE4E1D"/>
    <w:multiLevelType w:val="hybridMultilevel"/>
    <w:tmpl w:val="D548B48A"/>
    <w:lvl w:ilvl="0" w:tplc="486A9238">
      <w:start w:val="1"/>
      <w:numFmt w:val="bullet"/>
      <w:lvlText w:val=""/>
      <w:lvlJc w:val="left"/>
      <w:pPr>
        <w:ind w:left="720" w:hanging="360"/>
      </w:pPr>
      <w:rPr>
        <w:rFonts w:ascii="Symbol" w:hAnsi="Symbol"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47213">
    <w:abstractNumId w:val="1"/>
  </w:num>
  <w:num w:numId="2" w16cid:durableId="986474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0A"/>
    <w:rsid w:val="00042E0A"/>
    <w:rsid w:val="000A65D0"/>
    <w:rsid w:val="00194F0E"/>
    <w:rsid w:val="001A17C8"/>
    <w:rsid w:val="0041330F"/>
    <w:rsid w:val="004557EF"/>
    <w:rsid w:val="00596CF8"/>
    <w:rsid w:val="00732FEF"/>
    <w:rsid w:val="0080351F"/>
    <w:rsid w:val="0095398D"/>
    <w:rsid w:val="00A534ED"/>
    <w:rsid w:val="00A601B8"/>
    <w:rsid w:val="00D71492"/>
    <w:rsid w:val="00E4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A58E8"/>
  <w15:chartTrackingRefBased/>
  <w15:docId w15:val="{84136197-54EB-4647-8062-309B3BC3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42E0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42E0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42E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2E0A"/>
    <w:rPr>
      <w:color w:val="0000FF"/>
      <w:u w:val="single"/>
    </w:rPr>
  </w:style>
  <w:style w:type="paragraph" w:styleId="Header">
    <w:name w:val="header"/>
    <w:basedOn w:val="Normal"/>
    <w:link w:val="HeaderChar"/>
    <w:uiPriority w:val="99"/>
    <w:unhideWhenUsed/>
    <w:rsid w:val="00953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98D"/>
  </w:style>
  <w:style w:type="paragraph" w:styleId="Footer">
    <w:name w:val="footer"/>
    <w:basedOn w:val="Normal"/>
    <w:link w:val="FooterChar"/>
    <w:uiPriority w:val="99"/>
    <w:unhideWhenUsed/>
    <w:rsid w:val="00953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98D"/>
  </w:style>
  <w:style w:type="table" w:styleId="TableGrid">
    <w:name w:val="Table Grid"/>
    <w:basedOn w:val="TableNormal"/>
    <w:uiPriority w:val="39"/>
    <w:rsid w:val="00953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17C8"/>
    <w:pPr>
      <w:ind w:left="720"/>
      <w:contextualSpacing/>
    </w:pPr>
  </w:style>
  <w:style w:type="character" w:styleId="UnresolvedMention">
    <w:name w:val="Unresolved Mention"/>
    <w:basedOn w:val="DefaultParagraphFont"/>
    <w:uiPriority w:val="99"/>
    <w:semiHidden/>
    <w:unhideWhenUsed/>
    <w:rsid w:val="00A60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30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ccrd.colorado.gov/" TargetMode="External"/><Relationship Id="rId4" Type="http://schemas.openxmlformats.org/officeDocument/2006/relationships/webSettings" Target="webSettings.xml"/><Relationship Id="rId9" Type="http://schemas.openxmlformats.org/officeDocument/2006/relationships/hyperlink" Target="https://www.hud.gov/program_offices/fair_housing_equal_opp/online-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City Of Greeley</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Larsen</dc:creator>
  <cp:keywords/>
  <dc:description/>
  <cp:lastModifiedBy>Carol Larsen</cp:lastModifiedBy>
  <cp:revision>2</cp:revision>
  <cp:lastPrinted>2022-12-15T20:26:00Z</cp:lastPrinted>
  <dcterms:created xsi:type="dcterms:W3CDTF">2022-12-15T17:06:00Z</dcterms:created>
  <dcterms:modified xsi:type="dcterms:W3CDTF">2022-12-15T20:27:00Z</dcterms:modified>
</cp:coreProperties>
</file>